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HOLÍSTICA Guide Journey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Phase 5: The Offer — Action Step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Voice &amp; Tone:</w:t>
      </w:r>
      <w:r w:rsidDel="00000000" w:rsidR="00000000" w:rsidRPr="00000000">
        <w:rPr>
          <w:rtl w:val="0"/>
        </w:rPr>
        <w:t xml:space="preserve"> Warm, calm, trustworthy, professional, thoughtful, hopeful, confident.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Instructional Objective:</w:t>
      </w:r>
      <w:r w:rsidDel="00000000" w:rsidR="00000000" w:rsidRPr="00000000">
        <w:rPr>
          <w:rtl w:val="0"/>
        </w:rPr>
        <w:t xml:space="preserve"> To translate your conscious business design and monetization framework directly into an observable, immediate, and realistic baseline of entrepreneurial execution.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Your Phase 5 Aligned Action Step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According to the non-negotiable guidelines of the HOLÍSTICA Instructional Design &amp; Writing Standard, every step toward conscious business design must be concrete, context-specific, and immediately achievable within your regular operational flow. Review your complete offer metrics and execute the singular milestone directive below: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Execution Target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Your Observable Action Strategy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Action Milestone Directive: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Draft your complete, transparent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Boundary Statement</w:t>
            </w:r>
            <w:r w:rsidDel="00000000" w:rsidR="00000000" w:rsidRPr="00000000">
              <w:rPr>
                <w:rtl w:val="0"/>
              </w:rPr>
              <w:t xml:space="preserve"> and explicit pricing rationale for your selected starting offer. You must clearly separate what support parameters are covered from what parameters are firmly out of scope.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Communication Container: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Your draft must strictly deploy the structured metrics of the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Boundary Statement Template</w:t>
            </w:r>
            <w:r w:rsidDel="00000000" w:rsidR="00000000" w:rsidRPr="00000000">
              <w:rPr>
                <w:rtl w:val="0"/>
              </w:rPr>
              <w:t xml:space="preserve">: define your response timelines, confirm your preferred channel, set refund thresholds, and explicitly name your scope limits to protect your creative energy container.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Operational Tracking: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Store your completed boundary parameters safely inside your central repository to preserve internal structural alignment prior to initiating early customer contact workflows.</w:t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Transformation Check:</w:t>
      </w:r>
      <w:r w:rsidDel="00000000" w:rsidR="00000000" w:rsidRPr="00000000">
        <w:rPr>
          <w:rtl w:val="0"/>
        </w:rPr>
        <w:t xml:space="preserve"> Do not attempt to design multiple advanced offers or build out secondary funnel tiers today. Focus exclusively on locking in this single framework of structural boundaries to convert overextending self-sacrifice into highly reliable care, anchoring your role as a grounded, conscious Entrepreneur.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8"/>
      <w:szCs w:val="18"/>
      <w:u w:val="none"/>
      <w:vertAlign w:val="baseline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6"/>
      <w:szCs w:val="16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72"/>
      <w:szCs w:val="7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666666"/>
      <w:sz w:val="48"/>
      <w:szCs w:val="48"/>
      <w:u w:val="none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