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HOLÍSTICA Guide Journey</w:t>
      </w:r>
    </w:p>
    <w:p w:rsidR="00000000" w:rsidDel="00000000" w:rsidP="00000000" w:rsidRDefault="00000000" w:rsidRPr="00000000" w14:paraId="00000002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Phase 7: The Legacy — Workbook &amp; Worksheets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rtl w:val="0"/>
        </w:rPr>
        <w:t xml:space="preserve">Welcome to the Phase 7 Workbook. This workbook is designed to support your transition from learning founder to legacy builder, guiding your long-term strategic vision, scale readiness, intellectual property protection, and legacy leadership planning.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Worksheet 1 — Founder Vision Framework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rtl w:val="0"/>
        </w:rPr>
        <w:t xml:space="preserve">Use this framework to organize your foundational intentions, operational infrastructure, and generational impacts.</w:t>
      </w:r>
    </w:p>
    <w:tbl>
      <w:tblPr>
        <w:tblStyle w:val="Table1"/>
        <w:tblW w:w="93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2808"/>
        <w:gridCol w:w="6552"/>
        <w:tblGridChange w:id="0">
          <w:tblGrid>
            <w:gridCol w:w="2808"/>
            <w:gridCol w:w="6552"/>
          </w:tblGrid>
        </w:tblGridChange>
      </w:tblGrid>
      <w:tr>
        <w:trPr>
          <w:cantSplit w:val="0"/>
          <w:tblHeader w:val="1"/>
        </w:trPr>
        <w:tc>
          <w:tcPr>
            <w:shd w:fill="f2f2f2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rtl w:val="0"/>
              </w:rPr>
              <w:t xml:space="preserve">Framework Domain</w:t>
            </w:r>
          </w:p>
        </w:tc>
        <w:tc>
          <w:tcPr>
            <w:shd w:fill="f2f2f2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rtl w:val="0"/>
              </w:rPr>
              <w:t xml:space="preserve">Your Strategic Vision Notes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Mission:</w:t>
            </w:r>
            <w:r w:rsidDel="00000000" w:rsidR="00000000" w:rsidRPr="00000000">
              <w:rPr>
                <w:rtl w:val="0"/>
              </w:rPr>
              <w:t xml:space="preserve"> What transformation am I here to steward over the long term?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People:</w:t>
            </w:r>
            <w:r w:rsidDel="00000000" w:rsidR="00000000" w:rsidRPr="00000000">
              <w:rPr>
                <w:rtl w:val="0"/>
              </w:rPr>
              <w:t xml:space="preserve"> Who do I want to serve and impact over time?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Body of Work:</w:t>
            </w:r>
            <w:r w:rsidDel="00000000" w:rsidR="00000000" w:rsidRPr="00000000">
              <w:rPr>
                <w:rtl w:val="0"/>
              </w:rPr>
              <w:t xml:space="preserve"> What signature resources, offers, methods, or frameworks am I systematically building?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Values:</w:t>
            </w:r>
            <w:r w:rsidDel="00000000" w:rsidR="00000000" w:rsidRPr="00000000">
              <w:rPr>
                <w:rtl w:val="0"/>
              </w:rPr>
              <w:t xml:space="preserve"> What non-negotiable principles must remain entirely intact as I grow?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Systems:</w:t>
            </w:r>
            <w:r w:rsidDel="00000000" w:rsidR="00000000" w:rsidRPr="00000000">
              <w:rPr>
                <w:rtl w:val="0"/>
              </w:rPr>
              <w:t xml:space="preserve"> What core operational sequences need to become fully repeatable?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Leadership:</w:t>
            </w:r>
            <w:r w:rsidDel="00000000" w:rsidR="00000000" w:rsidRPr="00000000">
              <w:rPr>
                <w:rtl w:val="0"/>
              </w:rPr>
              <w:t xml:space="preserve"> What kind of leader must I consciously evolve into?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Sustainability:</w:t>
            </w:r>
            <w:r w:rsidDel="00000000" w:rsidR="00000000" w:rsidRPr="00000000">
              <w:rPr>
                <w:rtl w:val="0"/>
              </w:rPr>
              <w:t xml:space="preserve"> What parameters must this work provide to nourish my personal life, capital, and energy?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Legacy:</w:t>
            </w:r>
            <w:r w:rsidDel="00000000" w:rsidR="00000000" w:rsidRPr="00000000">
              <w:rPr>
                <w:rtl w:val="0"/>
              </w:rPr>
              <w:t xml:space="preserve"> What do I want this collective work to make possible completely independent of my presence?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Three-Year Vision Statement: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Worksheet 2 — Decision Filter Matrix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rtl w:val="0"/>
        </w:rPr>
        <w:t xml:space="preserve">Apply this structured filter to any incoming opportunity to evaluate alignment and protect your container.</w:t>
      </w:r>
    </w:p>
    <w:tbl>
      <w:tblPr>
        <w:tblStyle w:val="Table2"/>
        <w:tblW w:w="93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2340"/>
        <w:gridCol w:w="7020"/>
        <w:tblGridChange w:id="0">
          <w:tblGrid>
            <w:gridCol w:w="2340"/>
            <w:gridCol w:w="7020"/>
          </w:tblGrid>
        </w:tblGridChange>
      </w:tblGrid>
      <w:tr>
        <w:trPr>
          <w:cantSplit w:val="0"/>
          <w:tblHeader w:val="1"/>
        </w:trPr>
        <w:tc>
          <w:tcPr>
            <w:shd w:fill="f2f2f2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rtl w:val="0"/>
              </w:rPr>
              <w:t xml:space="preserve">Decision Filter Channel</w:t>
            </w:r>
          </w:p>
        </w:tc>
        <w:tc>
          <w:tcPr>
            <w:shd w:fill="f2f2f2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rtl w:val="0"/>
              </w:rPr>
              <w:t xml:space="preserve">Opportunity Assessment &amp; Evaluation Notes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Mission Alignment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Does this explicitly support the precise transformation I am here to create?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Learner Impact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Does this intentionally improve or protect the experience of my target learners?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Evidence Base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What real-world data, customer metrics, or valid feedback loops justify this action?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Capacity Gate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Do I have the actual energetic, temporal, and structural overhead to sustain this cleanly?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Values Consistency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Does this match the exact ethical and human posture I have chosen for my brand?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Timing Filter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Is this a strategic priority for right now, an asset for later, or a definitive never?</w:t>
            </w:r>
          </w:p>
        </w:tc>
      </w:tr>
    </w:tbl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Worksheet 3 — Scale Readiness Framework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rtl w:val="0"/>
        </w:rPr>
        <w:t xml:space="preserve">Examine a core method or offer before attempting scale deployment to prevent structural stress lines.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Evidence:</w:t>
      </w:r>
      <w:r w:rsidDel="00000000" w:rsidR="00000000" w:rsidRPr="00000000">
        <w:rPr>
          <w:rtl w:val="0"/>
        </w:rPr>
        <w:t xml:space="preserve"> What tangible proof validates consistent demand and learner outcome replication?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Repeatability:</w:t>
      </w:r>
      <w:r w:rsidDel="00000000" w:rsidR="00000000" w:rsidRPr="00000000">
        <w:rPr>
          <w:rtl w:val="0"/>
        </w:rPr>
        <w:t xml:space="preserve"> Can the core delivery flow be executed smoothly by automated models or trained facilitators?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Quality Control:</w:t>
      </w:r>
      <w:r w:rsidDel="00000000" w:rsidR="00000000" w:rsidRPr="00000000">
        <w:rPr>
          <w:rtl w:val="0"/>
        </w:rPr>
        <w:t xml:space="preserve"> How will your unique pedagogical presence and integrity be audited or protected at scale?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Capacity Parameters:</w:t>
      </w:r>
      <w:r w:rsidDel="00000000" w:rsidR="00000000" w:rsidRPr="00000000">
        <w:rPr>
          <w:rtl w:val="0"/>
        </w:rPr>
        <w:t xml:space="preserve"> What operational boundaries keep this expansion from increasing your strain?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Systemic Infrastructure:</w:t>
      </w:r>
      <w:r w:rsidDel="00000000" w:rsidR="00000000" w:rsidRPr="00000000">
        <w:rPr>
          <w:rtl w:val="0"/>
        </w:rPr>
        <w:t xml:space="preserve"> What specific blueprints, checklists, or steps must be documented right now?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Support Requirements:</w:t>
      </w:r>
      <w:r w:rsidDel="00000000" w:rsidR="00000000" w:rsidRPr="00000000">
        <w:rPr>
          <w:rtl w:val="0"/>
        </w:rPr>
        <w:t xml:space="preserve"> What automation paths, software tools, or strategic hires are required?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Risk Vectors:</w:t>
      </w:r>
      <w:r w:rsidDel="00000000" w:rsidR="00000000" w:rsidRPr="00000000">
        <w:rPr>
          <w:rtl w:val="0"/>
        </w:rPr>
        <w:t xml:space="preserve"> What elements risk friction or breakdown if user volume scales 10x?</w:t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Next Sustainable Scale Step:</w:t>
      </w:r>
      <w:r w:rsidDel="00000000" w:rsidR="00000000" w:rsidRPr="00000000">
        <w:rPr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Worksheet 4 — Delegation and Systems Map</w:t>
      </w:r>
    </w:p>
    <w:tbl>
      <w:tblPr>
        <w:tblStyle w:val="Table3"/>
        <w:tblW w:w="93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2808"/>
        <w:gridCol w:w="3744"/>
        <w:gridCol w:w="2808"/>
        <w:tblGridChange w:id="0">
          <w:tblGrid>
            <w:gridCol w:w="2808"/>
            <w:gridCol w:w="3744"/>
            <w:gridCol w:w="2808"/>
          </w:tblGrid>
        </w:tblGridChange>
      </w:tblGrid>
      <w:tr>
        <w:trPr>
          <w:cantSplit w:val="0"/>
          <w:tblHeader w:val="1"/>
        </w:trPr>
        <w:tc>
          <w:tcPr>
            <w:shd w:fill="f2f2f2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rtl w:val="0"/>
              </w:rPr>
              <w:t xml:space="preserve">Operational Process</w:t>
            </w:r>
          </w:p>
        </w:tc>
        <w:tc>
          <w:tcPr>
            <w:shd w:fill="f2f2f2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rtl w:val="0"/>
              </w:rPr>
              <w:t xml:space="preserve">Core Manual Execution Steps</w:t>
            </w:r>
          </w:p>
        </w:tc>
        <w:tc>
          <w:tcPr>
            <w:shd w:fill="f2f2f2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rtl w:val="0"/>
              </w:rPr>
              <w:t xml:space="preserve">Quality Standard &amp; Delegation Path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Content Loop System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How ideas become systematic posts, emails, lessons, or downloadable resources.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Onboarding &amp; Delivery Loop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How learners are structurally received, verified, and granted access parameters.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Feedback Mechanics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How data-gathering points are automatically distributed, cataloged, and integrated.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Support Container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How ongoing user inquiries are parsed, managed, and cleanly answered.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Worksheet 5 — Partnership Planner</w:t>
      </w:r>
    </w:p>
    <w:p w:rsidR="00000000" w:rsidDel="00000000" w:rsidP="00000000" w:rsidRDefault="00000000" w:rsidRPr="00000000" w14:paraId="0000004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Target Partner Entity:</w:t>
      </w:r>
      <w:r w:rsidDel="00000000" w:rsidR="00000000" w:rsidRPr="00000000">
        <w:rPr>
          <w:rtl w:val="0"/>
        </w:rPr>
        <w:t xml:space="preserve"> _______________________________________________________</w:t>
      </w:r>
    </w:p>
    <w:p w:rsidR="00000000" w:rsidDel="00000000" w:rsidP="00000000" w:rsidRDefault="00000000" w:rsidRPr="00000000" w14:paraId="0000004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Shared Purpose Vector:</w:t>
      </w:r>
      <w:r w:rsidDel="00000000" w:rsidR="00000000" w:rsidRPr="00000000">
        <w:rPr>
          <w:rtl w:val="0"/>
        </w:rPr>
        <w:t xml:space="preserve"> _______________________________________________________</w:t>
      </w:r>
    </w:p>
    <w:p w:rsidR="00000000" w:rsidDel="00000000" w:rsidP="00000000" w:rsidRDefault="00000000" w:rsidRPr="00000000" w14:paraId="0000005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Complementary Alignment Fields:</w:t>
      </w:r>
      <w:r w:rsidDel="00000000" w:rsidR="00000000" w:rsidRPr="00000000">
        <w:rPr>
          <w:rtl w:val="0"/>
        </w:rPr>
        <w:t xml:space="preserve"> _______________________________________________</w:t>
      </w:r>
    </w:p>
    <w:p w:rsidR="00000000" w:rsidDel="00000000" w:rsidP="00000000" w:rsidRDefault="00000000" w:rsidRPr="00000000" w14:paraId="0000005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Defined Operational Roles:</w:t>
      </w:r>
      <w:r w:rsidDel="00000000" w:rsidR="00000000" w:rsidRPr="00000000">
        <w:rPr>
          <w:rtl w:val="0"/>
        </w:rPr>
        <w:t xml:space="preserve"> ______________________________________________________</w:t>
      </w:r>
    </w:p>
    <w:p w:rsidR="00000000" w:rsidDel="00000000" w:rsidP="00000000" w:rsidRDefault="00000000" w:rsidRPr="00000000" w14:paraId="0000005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Value Exchange &amp; Compensation Structure:</w:t>
      </w:r>
      <w:r w:rsidDel="00000000" w:rsidR="00000000" w:rsidRPr="00000000">
        <w:rPr>
          <w:rtl w:val="0"/>
        </w:rPr>
        <w:t xml:space="preserve"> ______________________________________</w:t>
      </w:r>
    </w:p>
    <w:p w:rsidR="00000000" w:rsidDel="00000000" w:rsidP="00000000" w:rsidRDefault="00000000" w:rsidRPr="00000000" w14:paraId="0000005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Protection Clauses &amp; Exit Blueprint:</w:t>
      </w:r>
      <w:r w:rsidDel="00000000" w:rsidR="00000000" w:rsidRPr="00000000">
        <w:rPr>
          <w:rtl w:val="0"/>
        </w:rPr>
        <w:t xml:space="preserve"> ____________________________________________</w:t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Worksheet 6 — Intellectual Property Inventory Matrix</w:t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rtl w:val="0"/>
        </w:rPr>
        <w:t xml:space="preserve">Catalog your strategic assets as formal properties. Treat protection as active legacy stewardship.</w:t>
      </w:r>
    </w:p>
    <w:tbl>
      <w:tblPr>
        <w:tblStyle w:val="Table4"/>
        <w:tblW w:w="93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2340"/>
        <w:gridCol w:w="1872"/>
        <w:gridCol w:w="2808"/>
        <w:gridCol w:w="2340"/>
        <w:tblGridChange w:id="0">
          <w:tblGrid>
            <w:gridCol w:w="2340"/>
            <w:gridCol w:w="1872"/>
            <w:gridCol w:w="2808"/>
            <w:gridCol w:w="2340"/>
          </w:tblGrid>
        </w:tblGridChange>
      </w:tblGrid>
      <w:tr>
        <w:trPr>
          <w:cantSplit w:val="0"/>
          <w:tblHeader w:val="1"/>
        </w:trPr>
        <w:tc>
          <w:tcPr>
            <w:shd w:fill="f2f2f2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rtl w:val="0"/>
              </w:rPr>
              <w:t xml:space="preserve">Curriculum Asset</w:t>
            </w:r>
          </w:p>
        </w:tc>
        <w:tc>
          <w:tcPr>
            <w:shd w:fill="f2f2f2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rtl w:val="0"/>
              </w:rPr>
              <w:t xml:space="preserve">IP Type &amp; Owner</w:t>
            </w:r>
          </w:p>
        </w:tc>
        <w:tc>
          <w:tcPr>
            <w:shd w:fill="f2f2f2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rtl w:val="0"/>
              </w:rPr>
              <w:t xml:space="preserve">Storage &amp; Configuration Location</w:t>
            </w:r>
          </w:p>
        </w:tc>
        <w:tc>
          <w:tcPr>
            <w:shd w:fill="f2f2f2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rtl w:val="0"/>
              </w:rPr>
              <w:t xml:space="preserve">Future Licensing / Scale Potential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Written Works / Guides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Copyright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Frameworks / Methods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Copyright / System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Program / Brand Names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Trademark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Media / Core Video Packages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Copyright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Worksheet 7 — Licensing Readiness Review</w:t>
      </w:r>
    </w:p>
    <w:p w:rsidR="00000000" w:rsidDel="00000000" w:rsidP="00000000" w:rsidRDefault="00000000" w:rsidRPr="00000000" w14:paraId="0000006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rtl w:val="0"/>
        </w:rPr>
        <w:t xml:space="preserve">Verify the compliance metrics of your asset frameworks prior to authorizing commercial redistribution paths.</w:t>
      </w:r>
    </w:p>
    <w:p w:rsidR="00000000" w:rsidDel="00000000" w:rsidP="00000000" w:rsidRDefault="00000000" w:rsidRPr="00000000" w14:paraId="0000006F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Has the method been iteratively tested and proven in real environments?</w:t>
      </w:r>
      <w:r w:rsidDel="00000000" w:rsidR="00000000" w:rsidRPr="00000000">
        <w:rPr>
          <w:rtl w:val="0"/>
        </w:rPr>
        <w:t xml:space="preserve"> [ Yes / No ]</w:t>
      </w:r>
    </w:p>
    <w:p w:rsidR="00000000" w:rsidDel="00000000" w:rsidP="00000000" w:rsidRDefault="00000000" w:rsidRPr="00000000" w14:paraId="00000070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Is the deployment framework fully documented into repeatable steps?</w:t>
      </w:r>
      <w:r w:rsidDel="00000000" w:rsidR="00000000" w:rsidRPr="00000000">
        <w:rPr>
          <w:rtl w:val="0"/>
        </w:rPr>
        <w:t xml:space="preserve"> [ Yes / No ]</w:t>
      </w:r>
    </w:p>
    <w:p w:rsidR="00000000" w:rsidDel="00000000" w:rsidP="00000000" w:rsidRDefault="00000000" w:rsidRPr="00000000" w14:paraId="00000071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Are target operational quality standards explicitly clear to outside partners?</w:t>
      </w:r>
      <w:r w:rsidDel="00000000" w:rsidR="00000000" w:rsidRPr="00000000">
        <w:rPr>
          <w:rtl w:val="0"/>
        </w:rPr>
        <w:t xml:space="preserve"> [ Yes / No ]</w:t>
      </w:r>
    </w:p>
    <w:p w:rsidR="00000000" w:rsidDel="00000000" w:rsidP="00000000" w:rsidRDefault="00000000" w:rsidRPr="00000000" w14:paraId="00000072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What exact ongoing tech infrastructure, assets, or assets updates must be supplied?</w:t>
      </w:r>
    </w:p>
    <w:p w:rsidR="00000000" w:rsidDel="00000000" w:rsidP="00000000" w:rsidRDefault="00000000" w:rsidRPr="00000000" w14:paraId="00000073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7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Worksheet 8 — Legacy Leadership Framework</w:t>
      </w:r>
    </w:p>
    <w:p w:rsidR="00000000" w:rsidDel="00000000" w:rsidP="00000000" w:rsidRDefault="00000000" w:rsidRPr="00000000" w14:paraId="000000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rtl w:val="0"/>
        </w:rPr>
        <w:t xml:space="preserve">Map the pathways that enable your core educational philosophies to transform into self-sustaining movements.</w:t>
      </w:r>
    </w:p>
    <w:p w:rsidR="00000000" w:rsidDel="00000000" w:rsidP="00000000" w:rsidRDefault="00000000" w:rsidRPr="00000000" w14:paraId="00000077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Core Belief Anchor:</w:t>
      </w:r>
      <w:r w:rsidDel="00000000" w:rsidR="00000000" w:rsidRPr="00000000">
        <w:rPr>
          <w:rtl w:val="0"/>
        </w:rPr>
        <w:t xml:space="preserve"> What single truth sits at the absolute genetic center of your methodology?</w:t>
      </w:r>
    </w:p>
    <w:p w:rsidR="00000000" w:rsidDel="00000000" w:rsidP="00000000" w:rsidRDefault="00000000" w:rsidRPr="00000000" w14:paraId="00000078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Shared Narrative Language:</w:t>
      </w:r>
      <w:r w:rsidDel="00000000" w:rsidR="00000000" w:rsidRPr="00000000">
        <w:rPr>
          <w:rtl w:val="0"/>
        </w:rPr>
        <w:t xml:space="preserve"> What precise phrasing or visual metaphors do you want your community to deploy?</w:t>
      </w:r>
    </w:p>
    <w:p w:rsidR="00000000" w:rsidDel="00000000" w:rsidP="00000000" w:rsidRDefault="00000000" w:rsidRPr="00000000" w14:paraId="00000079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Participation Models:</w:t>
      </w:r>
      <w:r w:rsidDel="00000000" w:rsidR="00000000" w:rsidRPr="00000000">
        <w:rPr>
          <w:rtl w:val="0"/>
        </w:rPr>
        <w:t xml:space="preserve"> How do advanced learners shift from content consumers to peer leaders or practice hubs?</w:t>
      </w:r>
    </w:p>
    <w:p w:rsidR="00000000" w:rsidDel="00000000" w:rsidP="00000000" w:rsidRDefault="00000000" w:rsidRPr="00000000" w14:paraId="0000007A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Mentorship Vectors:</w:t>
      </w:r>
      <w:r w:rsidDel="00000000" w:rsidR="00000000" w:rsidRPr="00000000">
        <w:rPr>
          <w:rtl w:val="0"/>
        </w:rPr>
        <w:t xml:space="preserve"> Who are the immediate facilitators you are called to train, look after, or support?</w:t>
      </w:r>
    </w:p>
    <w:p w:rsidR="00000000" w:rsidDel="00000000" w:rsidP="00000000" w:rsidRDefault="00000000" w:rsidRPr="00000000" w14:paraId="0000007B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Systemic Continuity:</w:t>
      </w:r>
      <w:r w:rsidDel="00000000" w:rsidR="00000000" w:rsidRPr="00000000">
        <w:rPr>
          <w:rtl w:val="0"/>
        </w:rPr>
        <w:t xml:space="preserve"> What automated loops, structures, or locked assets ensure longevity beyond your presence?</w:t>
      </w:r>
    </w:p>
    <w:p w:rsidR="00000000" w:rsidDel="00000000" w:rsidP="00000000" w:rsidRDefault="00000000" w:rsidRPr="00000000" w14:paraId="0000007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Founder Identity Commitment Statement:</w:t>
      </w:r>
    </w:p>
    <w:p w:rsidR="00000000" w:rsidDel="00000000" w:rsidP="00000000" w:rsidRDefault="00000000" w:rsidRPr="00000000" w14:paraId="0000007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rtl w:val="0"/>
        </w:rPr>
        <w:t xml:space="preserve">I am a Guide who __________________________________________________________________________</w:t>
      </w:r>
    </w:p>
    <w:p w:rsidR="00000000" w:rsidDel="00000000" w:rsidP="00000000" w:rsidRDefault="00000000" w:rsidRPr="00000000" w14:paraId="0000007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oppins" w:cs="Poppins" w:eastAsia="Poppins" w:hAnsi="Poppins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="240" w:lineRule="auto"/>
      <w:ind w:left="0" w:right="0" w:firstLine="0"/>
      <w:jc w:val="left"/>
    </w:pPr>
    <w:rPr>
      <w:rFonts w:ascii="Poppins" w:cs="Poppins" w:eastAsia="Poppins" w:hAnsi="Poppins"/>
      <w:b w:val="1"/>
      <w:bCs w:val="1"/>
      <w:i w:val="0"/>
      <w:iCs w:val="0"/>
      <w:smallCaps w:val="0"/>
      <w:strike w:val="0"/>
      <w:color w:val="000000"/>
      <w:sz w:val="48"/>
      <w:szCs w:val="48"/>
      <w:u w:val="none"/>
      <w:vertAlign w:val="baseline"/>
    </w:rPr>
  </w:style>
  <w:style w:type="paragraph" w:styleId="Heading2">
    <w:name w:val="heading 2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="240" w:lineRule="auto"/>
      <w:ind w:left="0" w:right="0" w:firstLine="0"/>
      <w:jc w:val="left"/>
    </w:pPr>
    <w:rPr>
      <w:rFonts w:ascii="Poppins" w:cs="Poppins" w:eastAsia="Poppins" w:hAnsi="Poppins"/>
      <w:b w:val="1"/>
      <w:bCs w:val="1"/>
      <w:i w:val="0"/>
      <w:iCs w:val="0"/>
      <w:smallCaps w:val="0"/>
      <w:strike w:val="0"/>
      <w:color w:val="000000"/>
      <w:sz w:val="36"/>
      <w:szCs w:val="36"/>
      <w:u w:val="none"/>
      <w:vertAlign w:val="baseline"/>
    </w:rPr>
  </w:style>
  <w:style w:type="paragraph" w:styleId="Heading3">
    <w:name w:val="heading 3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="240" w:lineRule="auto"/>
      <w:ind w:left="0" w:right="0" w:firstLine="0"/>
      <w:jc w:val="left"/>
    </w:pPr>
    <w:rPr>
      <w:rFonts w:ascii="Poppins" w:cs="Poppins" w:eastAsia="Poppins" w:hAnsi="Poppins"/>
      <w:b w:val="1"/>
      <w:bCs w:val="1"/>
      <w:i w:val="0"/>
      <w:iCs w:val="0"/>
      <w:smallCaps w:val="0"/>
      <w:strike w:val="0"/>
      <w:color w:val="000000"/>
      <w:sz w:val="28"/>
      <w:szCs w:val="28"/>
      <w:u w:val="none"/>
      <w:vertAlign w:val="baseline"/>
    </w:rPr>
  </w:style>
  <w:style w:type="paragraph" w:styleId="Heading4">
    <w:name w:val="heading 4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="240" w:lineRule="auto"/>
      <w:ind w:left="0" w:right="0" w:firstLine="0"/>
      <w:jc w:val="left"/>
    </w:pPr>
    <w:rPr>
      <w:rFonts w:ascii="Poppins" w:cs="Poppins" w:eastAsia="Poppins" w:hAnsi="Poppins"/>
      <w:b w:val="1"/>
      <w:bCs w:val="1"/>
      <w:i w:val="0"/>
      <w:iCs w:val="0"/>
      <w:smallCaps w:val="0"/>
      <w:strike w:val="0"/>
      <w:color w:val="000000"/>
      <w:sz w:val="24"/>
      <w:szCs w:val="24"/>
      <w:u w:val="none"/>
      <w:vertAlign w:val="baseline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="240" w:lineRule="auto"/>
      <w:ind w:left="0" w:right="0" w:firstLine="0"/>
      <w:jc w:val="left"/>
    </w:pPr>
    <w:rPr>
      <w:rFonts w:ascii="Poppins" w:cs="Poppins" w:eastAsia="Poppins" w:hAnsi="Poppins"/>
      <w:b w:val="1"/>
      <w:bCs w:val="1"/>
      <w:i w:val="0"/>
      <w:iCs w:val="0"/>
      <w:smallCaps w:val="0"/>
      <w:strike w:val="0"/>
      <w:color w:val="000000"/>
      <w:sz w:val="18"/>
      <w:szCs w:val="18"/>
      <w:u w:val="none"/>
      <w:vertAlign w:val="baseline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="240" w:lineRule="auto"/>
      <w:ind w:left="0" w:right="0" w:firstLine="0"/>
      <w:jc w:val="left"/>
    </w:pPr>
    <w:rPr>
      <w:rFonts w:ascii="Poppins" w:cs="Poppins" w:eastAsia="Poppins" w:hAnsi="Poppins"/>
      <w:b w:val="1"/>
      <w:bCs w:val="1"/>
      <w:i w:val="0"/>
      <w:iCs w:val="0"/>
      <w:smallCaps w:val="0"/>
      <w:strike w:val="0"/>
      <w:color w:val="000000"/>
      <w:sz w:val="16"/>
      <w:szCs w:val="16"/>
      <w:u w:val="none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="240" w:lineRule="auto"/>
      <w:ind w:left="0" w:right="0" w:firstLine="0"/>
      <w:jc w:val="left"/>
    </w:pPr>
    <w:rPr>
      <w:rFonts w:ascii="Poppins" w:cs="Poppins" w:eastAsia="Poppins" w:hAnsi="Poppins"/>
      <w:b w:val="1"/>
      <w:bCs w:val="1"/>
      <w:i w:val="0"/>
      <w:iCs w:val="0"/>
      <w:smallCaps w:val="0"/>
      <w:strike w:val="0"/>
      <w:color w:val="000000"/>
      <w:sz w:val="72"/>
      <w:szCs w:val="72"/>
      <w:u w:val="none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1"/>
      <w:iCs w:val="1"/>
      <w:smallCaps w:val="0"/>
      <w:strike w:val="0"/>
      <w:color w:val="666666"/>
      <w:sz w:val="48"/>
      <w:szCs w:val="48"/>
      <w:u w:val="none"/>
      <w:vertAlign w:val="baseline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